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6F" w:rsidRDefault="00C5186F">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C5186F" w:rsidRDefault="00C5186F">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C5186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被传染病病原体污染的污水、污物、场所和物品强制消毒处理</w:t>
            </w:r>
          </w:p>
        </w:tc>
      </w:tr>
      <w:tr w:rsidR="00C5186F">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C5186F" w:rsidRDefault="00C5186F">
            <w:pPr>
              <w:widowControl/>
              <w:rPr>
                <w:rFonts w:ascii="宋体" w:cs="宋体"/>
                <w:color w:val="000000"/>
                <w:kern w:val="0"/>
                <w:sz w:val="20"/>
                <w:szCs w:val="20"/>
              </w:rPr>
            </w:pPr>
            <w:r>
              <w:rPr>
                <w:rFonts w:ascii="宋体" w:hAnsi="宋体" w:cs="宋体" w:hint="eastAsia"/>
                <w:color w:val="000000"/>
                <w:kern w:val="0"/>
                <w:sz w:val="20"/>
                <w:szCs w:val="20"/>
              </w:rPr>
              <w:t>行政</w:t>
            </w:r>
          </w:p>
          <w:p w:rsidR="00C5186F" w:rsidRDefault="00C5186F">
            <w:pPr>
              <w:widowControl/>
              <w:rPr>
                <w:rFonts w:ascii="仿宋_GB2312" w:eastAsia="仿宋_GB2312"/>
                <w:kern w:val="0"/>
                <w:sz w:val="24"/>
                <w:szCs w:val="24"/>
              </w:rPr>
            </w:pPr>
            <w:r>
              <w:rPr>
                <w:rFonts w:ascii="宋体" w:hAnsi="宋体" w:cs="宋体" w:hint="eastAsia"/>
                <w:color w:val="000000"/>
                <w:kern w:val="0"/>
                <w:sz w:val="20"/>
                <w:szCs w:val="20"/>
              </w:rPr>
              <w:t>强制</w:t>
            </w:r>
          </w:p>
        </w:tc>
        <w:tc>
          <w:tcPr>
            <w:tcW w:w="1262"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相关场所与物品</w:t>
            </w:r>
          </w:p>
        </w:tc>
      </w:tr>
      <w:tr w:rsidR="00C5186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C5186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0"/>
                <w:szCs w:val="20"/>
              </w:rPr>
            </w:pPr>
            <w:r>
              <w:rPr>
                <w:rFonts w:ascii="仿宋_GB2312" w:hAnsi="仿宋_GB2312" w:hint="eastAsia"/>
                <w:kern w:val="0"/>
                <w:sz w:val="20"/>
                <w:szCs w:val="20"/>
              </w:rPr>
              <w:t>法监股、疾控股</w:t>
            </w:r>
          </w:p>
        </w:tc>
      </w:tr>
      <w:tr w:rsidR="00C5186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C5186F">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C5186F" w:rsidRDefault="00C5186F">
            <w:pPr>
              <w:widowControl/>
              <w:spacing w:line="600" w:lineRule="atLeast"/>
              <w:rPr>
                <w:rFonts w:ascii="仿宋_GB2312" w:eastAsia="仿宋_GB2312"/>
                <w:kern w:val="0"/>
                <w:sz w:val="20"/>
                <w:szCs w:val="20"/>
              </w:rPr>
            </w:pPr>
          </w:p>
        </w:tc>
      </w:tr>
      <w:tr w:rsidR="00C5186F">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相关现场与物品信息</w:t>
            </w:r>
          </w:p>
        </w:tc>
      </w:tr>
      <w:tr w:rsidR="00C5186F">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C5186F" w:rsidRDefault="00C5186F">
            <w:pPr>
              <w:widowControl/>
              <w:spacing w:line="420" w:lineRule="atLeast"/>
              <w:rPr>
                <w:rFonts w:ascii="宋体" w:cs="宋体"/>
                <w:color w:val="000000"/>
                <w:kern w:val="0"/>
                <w:sz w:val="15"/>
                <w:szCs w:val="15"/>
              </w:rPr>
            </w:pPr>
            <w:r>
              <w:rPr>
                <w:rFonts w:ascii="宋体" w:hAnsi="宋体" w:cs="宋体" w:hint="eastAsia"/>
                <w:color w:val="000000"/>
                <w:kern w:val="0"/>
                <w:sz w:val="15"/>
                <w:szCs w:val="15"/>
              </w:rPr>
              <w:t>《中华人民共和国传染病防治法》第二十七条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w:t>
            </w:r>
          </w:p>
          <w:p w:rsidR="00C5186F" w:rsidRDefault="00C5186F">
            <w:pPr>
              <w:widowControl/>
              <w:spacing w:line="420" w:lineRule="atLeast"/>
              <w:rPr>
                <w:rFonts w:ascii="宋体" w:cs="宋体"/>
                <w:color w:val="000000"/>
                <w:kern w:val="0"/>
                <w:sz w:val="15"/>
                <w:szCs w:val="15"/>
              </w:rPr>
            </w:pPr>
            <w:r>
              <w:rPr>
                <w:rFonts w:ascii="宋体" w:hAnsi="宋体" w:cs="宋体" w:hint="eastAsia"/>
                <w:color w:val="000000"/>
                <w:kern w:val="0"/>
                <w:sz w:val="15"/>
                <w:szCs w:val="15"/>
              </w:rPr>
              <w:t>《艾滋病防治条例》第四十条</w:t>
            </w:r>
            <w:r>
              <w:rPr>
                <w:color w:val="000000"/>
                <w:kern w:val="0"/>
                <w:sz w:val="15"/>
                <w:szCs w:val="15"/>
              </w:rPr>
              <w:t>:</w:t>
            </w:r>
            <w:r>
              <w:rPr>
                <w:rFonts w:ascii="宋体" w:hAnsi="宋体" w:cs="宋体" w:hint="eastAsia"/>
                <w:color w:val="000000"/>
                <w:kern w:val="0"/>
                <w:sz w:val="15"/>
                <w:szCs w:val="15"/>
              </w:rPr>
              <w:t>县级以上人民政府卫生主管部门和出入境检验检疫机构可以封存有证据证明可能被艾滋病病毒污染的物品，并予以检验或者进行消毒。</w:t>
            </w:r>
          </w:p>
          <w:p w:rsidR="00C5186F" w:rsidRDefault="00C5186F">
            <w:pPr>
              <w:widowControl/>
              <w:spacing w:line="420" w:lineRule="atLeast"/>
              <w:rPr>
                <w:rFonts w:ascii="宋体" w:cs="宋体"/>
                <w:color w:val="000000"/>
                <w:kern w:val="0"/>
                <w:sz w:val="20"/>
              </w:rPr>
            </w:pPr>
            <w:r>
              <w:rPr>
                <w:rFonts w:ascii="宋体" w:hAnsi="宋体" w:cs="宋体" w:hint="eastAsia"/>
                <w:color w:val="000000"/>
                <w:kern w:val="0"/>
                <w:sz w:val="15"/>
                <w:szCs w:val="15"/>
              </w:rPr>
              <w:t>《国内交通卫检疫条例》第六条</w:t>
            </w:r>
            <w:r>
              <w:rPr>
                <w:color w:val="000000"/>
                <w:kern w:val="0"/>
                <w:sz w:val="15"/>
                <w:szCs w:val="15"/>
              </w:rPr>
              <w:t>:</w:t>
            </w:r>
            <w:r>
              <w:rPr>
                <w:rFonts w:ascii="宋体" w:hAnsi="宋体" w:cs="宋体" w:hint="eastAsia"/>
                <w:color w:val="000000"/>
                <w:kern w:val="0"/>
                <w:sz w:val="15"/>
                <w:szCs w:val="15"/>
              </w:rPr>
              <w:t>对出入检疫传染病疫区的交通工具及其乘运的人员、物资，县级以上地方人民政府卫生行政部门或者铁路、交通、民用航空行政主管部门的卫生主管机构根据各自的职责，有权采取下列相应的交通卫生检疫措施：（一）对出入检疫传染病疫区的人员、交通工具及其承运的物资进行查验；（二）对检疫传染病病人、病原携带者、疑似检疫传染病病人和与其密切接触者，实施临时隔离、医学检查及其他应急医学措施；（三）对被检疫传染病病原体污染或者可能被污染的物品，实施控制和卫生处理；（四）对通过该疫区的交通工具及其停靠场所，实施紧急卫生处理；</w:t>
            </w:r>
          </w:p>
        </w:tc>
      </w:tr>
      <w:tr w:rsidR="00C5186F">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C5186F" w:rsidRDefault="00C5186F">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C5186F">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C5186F" w:rsidRDefault="00C5186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C5186F" w:rsidRDefault="00C5186F">
            <w:pPr>
              <w:widowControl/>
              <w:spacing w:line="600" w:lineRule="atLeast"/>
              <w:jc w:val="center"/>
              <w:rPr>
                <w:rFonts w:eastAsia="黑体"/>
                <w:b/>
                <w:sz w:val="44"/>
              </w:rPr>
            </w:pPr>
          </w:p>
          <w:p w:rsidR="00C5186F" w:rsidRDefault="00C5186F">
            <w:pPr>
              <w:widowControl/>
              <w:spacing w:line="600" w:lineRule="atLeast"/>
              <w:jc w:val="center"/>
              <w:rPr>
                <w:rFonts w:eastAsia="黑体"/>
                <w:b/>
                <w:sz w:val="44"/>
              </w:rPr>
            </w:pPr>
            <w:r>
              <w:rPr>
                <w:rFonts w:eastAsia="黑体" w:hint="eastAsia"/>
                <w:b/>
                <w:sz w:val="44"/>
              </w:rPr>
              <w:t>被传染病病原体污染的污水、污物、场所和物品强制消毒处理流程图</w:t>
            </w:r>
          </w:p>
          <w:p w:rsidR="00C5186F" w:rsidRDefault="00C5186F">
            <w:pPr>
              <w:widowControl/>
              <w:spacing w:line="600" w:lineRule="atLeast"/>
              <w:jc w:val="center"/>
              <w:rPr>
                <w:rFonts w:eastAsia="黑体"/>
                <w:b/>
                <w:sz w:val="44"/>
              </w:rPr>
            </w:pPr>
            <w:r>
              <w:rPr>
                <w:noProof/>
              </w:rPr>
              <w:pict>
                <v:rect id="_x0000_s1026" style="position:absolute;left:0;text-align:left;margin-left:8.85pt;margin-top:22pt;width:323.25pt;height:37.5pt;z-index:251656192">
                  <v:textbox>
                    <w:txbxContent>
                      <w:p w:rsidR="00C5186F" w:rsidRDefault="00C5186F">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相关现场与物品信息</w:t>
                        </w:r>
                      </w:p>
                    </w:txbxContent>
                  </v:textbox>
                </v:rect>
              </w:pict>
            </w:r>
            <w:r>
              <w:rPr>
                <w:noProof/>
              </w:rPr>
              <w:pict>
                <v:group id="_x0000_s1027" style="position:absolute;left:0;text-align:left;margin-left:35.1pt;margin-top:122.5pt;width:248.25pt;height:200.4pt;z-index:251659264" coordorigin="10192,26370" coordsize="4965,4008">
                  <v:rect id="Rectangle 38" o:spid="_x0000_s1028" style="position:absolute;left:10192;top:27150;width:4965;height:468">
                    <v:textbox>
                      <w:txbxContent>
                        <w:p w:rsidR="00C5186F" w:rsidRDefault="00C5186F">
                          <w:pPr>
                            <w:jc w:val="center"/>
                            <w:rPr>
                              <w:rFonts w:eastAsia="仿宋_GB2312"/>
                              <w:sz w:val="24"/>
                            </w:rPr>
                          </w:pPr>
                          <w:r>
                            <w:rPr>
                              <w:rFonts w:eastAsia="仿宋_GB2312" w:hint="eastAsia"/>
                              <w:sz w:val="24"/>
                            </w:rPr>
                            <w:t>与指挥部协调设立控制点</w:t>
                          </w:r>
                        </w:p>
                      </w:txbxContent>
                    </v:textbox>
                  </v:rect>
                  <v:line id="Line 40" o:spid="_x0000_s1029" style="position:absolute" from="12846,27720" to="12847,28500">
                    <v:stroke endarrow="block"/>
                  </v:line>
                  <v:rect id="Rectangle 41" o:spid="_x0000_s1030" style="position:absolute;left:10642;top:28530;width:4320;height:468">
                    <v:textbox>
                      <w:txbxContent>
                        <w:p w:rsidR="00C5186F" w:rsidRDefault="00C5186F">
                          <w:pPr>
                            <w:jc w:val="center"/>
                            <w:rPr>
                              <w:rFonts w:eastAsia="仿宋_GB2312"/>
                              <w:sz w:val="24"/>
                            </w:rPr>
                          </w:pPr>
                          <w:r>
                            <w:rPr>
                              <w:rFonts w:eastAsia="仿宋_GB2312" w:hint="eastAsia"/>
                              <w:sz w:val="24"/>
                            </w:rPr>
                            <w:t>组织专业队伍、开展检测</w:t>
                          </w:r>
                        </w:p>
                      </w:txbxContent>
                    </v:textbox>
                  </v:rect>
                  <v:line id="Line 40" o:spid="_x0000_s1031" style="position:absolute" from="12848,26370" to="12849,27150">
                    <v:stroke endarrow="block"/>
                  </v:line>
                  <v:line id="Line 40" o:spid="_x0000_s1032" style="position:absolute" from="12849,29100" to="12850,29880">
                    <v:stroke endarrow="block"/>
                  </v:line>
                  <v:rect id="Rectangle 41" o:spid="_x0000_s1033" style="position:absolute;left:10642;top:29910;width:4320;height:468">
                    <v:textbox>
                      <w:txbxContent>
                        <w:p w:rsidR="00C5186F" w:rsidRDefault="00C5186F">
                          <w:pPr>
                            <w:jc w:val="center"/>
                            <w:rPr>
                              <w:rFonts w:eastAsia="仿宋_GB2312"/>
                              <w:sz w:val="24"/>
                            </w:rPr>
                          </w:pPr>
                          <w:r>
                            <w:rPr>
                              <w:rFonts w:eastAsia="仿宋_GB2312" w:hint="eastAsia"/>
                              <w:sz w:val="24"/>
                            </w:rPr>
                            <w:t>进行卫生处理</w:t>
                          </w:r>
                        </w:p>
                      </w:txbxContent>
                    </v:textbox>
                  </v:rect>
                </v:group>
              </w:pict>
            </w:r>
            <w:r>
              <w:rPr>
                <w:noProof/>
              </w:rPr>
              <w:pict>
                <v:rect id="_x0000_s1034" style="position:absolute;left:0;text-align:left;margin-left:78.6pt;margin-top:82.45pt;width:166.55pt;height:35.25pt;z-index:251657216">
                  <v:textbox>
                    <w:txbxContent>
                      <w:p w:rsidR="00C5186F" w:rsidRDefault="00C5186F">
                        <w:pPr>
                          <w:jc w:val="center"/>
                          <w:rPr>
                            <w:rFonts w:eastAsia="仿宋_GB2312"/>
                            <w:sz w:val="24"/>
                          </w:rPr>
                        </w:pPr>
                        <w:r>
                          <w:rPr>
                            <w:rFonts w:eastAsia="仿宋_GB2312" w:hint="eastAsia"/>
                            <w:sz w:val="24"/>
                          </w:rPr>
                          <w:t>卫计局通过研究制定相应工作方案</w:t>
                        </w:r>
                      </w:p>
                    </w:txbxContent>
                  </v:textbox>
                </v:rect>
              </w:pict>
            </w:r>
            <w:r>
              <w:rPr>
                <w:noProof/>
              </w:rPr>
              <w:pict>
                <v:line id="_x0000_s1035" style="position:absolute;left:0;text-align:left;z-index:251658240" from="167.8pt,58.65pt" to="167.85pt,81.9pt">
                  <v:stroke endarrow="open"/>
                </v:line>
              </w:pict>
            </w:r>
          </w:p>
        </w:tc>
      </w:tr>
    </w:tbl>
    <w:p w:rsidR="00C5186F" w:rsidRDefault="00C5186F">
      <w:bookmarkStart w:id="0" w:name="_GoBack"/>
      <w:bookmarkEnd w:id="0"/>
    </w:p>
    <w:sectPr w:rsidR="00C5186F" w:rsidSect="002974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D35D49"/>
    <w:rsid w:val="0029741B"/>
    <w:rsid w:val="00C5186F"/>
    <w:rsid w:val="00CC089D"/>
    <w:rsid w:val="00D57447"/>
    <w:rsid w:val="00DF2F8D"/>
    <w:rsid w:val="52D35D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1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132</Words>
  <Characters>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2016-01-06T03:05:00Z</dcterms:created>
  <dcterms:modified xsi:type="dcterms:W3CDTF">2016-11-03T07:48:00Z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